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8E" w:rsidRPr="00B9031F" w:rsidRDefault="00A7338E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7338E" w:rsidRPr="00B9031F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731A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F95EE7" w:rsidRPr="005C731A">
        <w:rPr>
          <w:rFonts w:ascii="Times New Roman" w:eastAsia="Times New Roman" w:hAnsi="Times New Roman"/>
          <w:sz w:val="24"/>
          <w:szCs w:val="24"/>
          <w:lang w:val="sr-Cyrl-RS" w:eastAsia="en-GB"/>
        </w:rPr>
        <w:t>13</w:t>
      </w:r>
      <w:r w:rsidRPr="005C731A"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 w:rsidR="00F95EE7" w:rsidRPr="005C731A">
        <w:rPr>
          <w:rFonts w:ascii="Times New Roman" w:eastAsia="Times New Roman" w:hAnsi="Times New Roman"/>
          <w:sz w:val="24"/>
          <w:szCs w:val="24"/>
          <w:lang w:eastAsia="en-GB"/>
        </w:rPr>
        <w:t>-23</w:t>
      </w:r>
    </w:p>
    <w:p w:rsidR="00A7338E" w:rsidRPr="00B9031F" w:rsidRDefault="00B23E5C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3E5C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A651EF" w:rsidRPr="00B23E5C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A7338E" w:rsidRPr="00ED369D" w:rsidRDefault="00A7338E" w:rsidP="00ED369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7338E" w:rsidRPr="00B9031F" w:rsidRDefault="00A7338E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7338E" w:rsidRPr="00B9031F" w:rsidRDefault="00A651EF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24.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7338E" w:rsidRPr="00ED369D" w:rsidRDefault="00A651EF" w:rsidP="00ED36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4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ЈУЛА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ГОДИНЕ</w:t>
      </w:r>
    </w:p>
    <w:p w:rsidR="00A7338E" w:rsidRPr="00B9031F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1EF">
        <w:rPr>
          <w:rFonts w:ascii="Times New Roman" w:eastAsia="Calibri" w:hAnsi="Times New Roman" w:cs="Times New Roman"/>
          <w:sz w:val="24"/>
          <w:szCs w:val="24"/>
          <w:lang w:val="sr-Cyrl-RS"/>
        </w:rPr>
        <w:t>у 11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.00 часова.</w:t>
      </w:r>
    </w:p>
    <w:p w:rsidR="00A7338E" w:rsidRPr="00B9031F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A651EF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Оља Петровић, Зоран Томић, Угљеша Мрдић, Милица Николић, Сања Лакић, Љубинко Ђурковић, Драган Николић и Сања Јефић Бранковић.</w:t>
      </w:r>
    </w:p>
    <w:p w:rsidR="001070F2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и: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Марко Атлагић, заменик Ненада Митровића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Јован Палалић, заменик Жике Бујуклића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Угљеша Гргур, заменик </w:t>
      </w:r>
      <w:r w:rsidR="00AE40E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Драган</w:t>
      </w:r>
      <w:r w:rsidR="00AE40E2">
        <w:rPr>
          <w:rFonts w:ascii="Times New Roman" w:eastAsia="Calibri" w:hAnsi="Times New Roman" w:cs="Times New Roman"/>
          <w:sz w:val="24"/>
          <w:szCs w:val="24"/>
          <w:lang w:val="sr-Cyrl-RS"/>
        </w:rPr>
        <w:t>а Вулића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A7338E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Дубравка Краљ, 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Павле Грбовић, Владимир Гајић</w:t>
      </w:r>
      <w:r w:rsidR="00E20D27">
        <w:rPr>
          <w:rFonts w:ascii="Times New Roman" w:eastAsia="Calibri" w:hAnsi="Times New Roman" w:cs="Times New Roman"/>
          <w:sz w:val="24"/>
          <w:szCs w:val="24"/>
          <w:lang w:val="sr-Cyrl-RS"/>
        </w:rPr>
        <w:t>, Небојша Цакић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Александар Оленик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AE40E2" w:rsidRDefault="00A7338E" w:rsidP="002053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је присуствовао 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народни посланик </w:t>
      </w:r>
      <w:r w:rsidR="001070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Бошко Обрадовић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053A8"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7EA3" w:rsidRDefault="00507EA3" w:rsidP="002053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</w:pPr>
      <w:r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присуствовала проф. др Дарија Кисић Тепавчевић, министар за бригу о породици и демографију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07EA3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</w:t>
      </w:r>
    </w:p>
    <w:p w:rsidR="00A7338E" w:rsidRDefault="00371AA4" w:rsidP="00B73DB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="00F40EF0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представници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Министарства одбране: Душан Мрдак, саветник помоћника министра и Бојана Николић, руководилац Групе; 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Министарства културе: Миодраг Ивановић, државни секретар, 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Вукица Килибарда, в.д. секретара Министарства културе и Данијела Ванушић, помоћница министра за заштиту културног наслеђа и дигитализацију;</w:t>
      </w:r>
      <w:r w:rsidR="00F40EF0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 финансија</w:t>
      </w:r>
      <w:r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Симовић, државни службеник из Управе за јавни дуг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Соња Талијан, помоћник министра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</w:t>
      </w:r>
      <w:r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Сектор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дигитализацију у 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јавним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финансија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ма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Владимир Пејчић, 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државни службеник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Сектору</w:t>
      </w:r>
      <w:r w:rsidR="00012DF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167F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за дигитализацију у јавним финансијама</w:t>
      </w:r>
      <w:r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; М</w:t>
      </w:r>
      <w:r w:rsidR="00714CAF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инистарства</w:t>
      </w:r>
      <w:r w:rsid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A66D6" w:rsidRPr="007A66D6">
        <w:rPr>
          <w:rFonts w:ascii="Times New Roman" w:eastAsia="Calibri" w:hAnsi="Times New Roman" w:cs="Times New Roman"/>
          <w:sz w:val="24"/>
          <w:szCs w:val="24"/>
          <w:lang w:val="sr-Cyrl-RS"/>
        </w:rPr>
        <w:t>грађевинарства, саобраћаја и инфраструктуре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Ранко Шекуларац, помоћник министра, Ђорђе Милић, помоћник министра, Александра Дамјановић, државни секретар, Светлана </w:t>
      </w:r>
      <w:r w:rsidR="00004107" w:rsidRPr="00004107">
        <w:rPr>
          <w:rFonts w:ascii="Times New Roman" w:eastAsia="Calibri" w:hAnsi="Times New Roman" w:cs="Times New Roman"/>
          <w:sz w:val="24"/>
          <w:szCs w:val="24"/>
          <w:lang w:val="sr-Cyrl-RS"/>
        </w:rPr>
        <w:t>Аџе</w:t>
      </w:r>
      <w:r w:rsidR="007A66D6" w:rsidRPr="00004107">
        <w:rPr>
          <w:rFonts w:ascii="Times New Roman" w:eastAsia="Calibri" w:hAnsi="Times New Roman" w:cs="Times New Roman"/>
          <w:sz w:val="24"/>
          <w:szCs w:val="24"/>
          <w:lang w:val="sr-Cyrl-RS"/>
        </w:rPr>
        <w:t>мовић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>, виши саветник, Тања Ивановић, самостални саветник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>, Даница Ускоковић, самостални саветник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Марита </w:t>
      </w:r>
      <w:r w:rsidR="007A66D6" w:rsidRPr="00004107">
        <w:rPr>
          <w:rFonts w:ascii="Times New Roman" w:eastAsia="Calibri" w:hAnsi="Times New Roman" w:cs="Times New Roman"/>
          <w:sz w:val="24"/>
          <w:szCs w:val="24"/>
          <w:lang w:val="sr-Cyrl-RS"/>
        </w:rPr>
        <w:t>Исаилова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>, самостални саветник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7A66D6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унутрашњих послова: Жељко Бркић, државни секретар и Зорица Вулић, заменик начелника Службе за странце Управе граничне полиције</w:t>
      </w:r>
      <w:r w:rsidR="001256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за рад, запошљавање, борачка и социјална питања: Сања Гаврановић, руководилац Групе у Сектору за рад и запошљавање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Катарина Денчић, самостални саветник</w:t>
      </w:r>
      <w:r w:rsidR="001D0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B73DB1" w:rsidRP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Министарства 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рударства и енергетике: Олга Антић, сектор за нафту и гас; Министарства здравља: Александра Влачић, 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помоћник министра и</w:t>
      </w:r>
      <w:r w:rsidR="005F3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Александра Влачић, директор Управе за </w:t>
      </w:r>
      <w:r w:rsidR="004A25E8">
        <w:rPr>
          <w:rFonts w:ascii="Times New Roman" w:eastAsia="Calibri" w:hAnsi="Times New Roman" w:cs="Times New Roman"/>
          <w:sz w:val="24"/>
          <w:szCs w:val="24"/>
          <w:lang w:val="sr-Cyrl-RS"/>
        </w:rPr>
        <w:t>биомедицину</w:t>
      </w:r>
      <w:r w:rsidR="00B73D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спољних послова</w:t>
      </w:r>
      <w:r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6B47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Небојша Вушуровић, начелник Одељења за визну политику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D36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403A0C" w:rsidRPr="00403A0C" w:rsidRDefault="00403A0C" w:rsidP="00C0429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риликом утврђивања дневног реда</w:t>
      </w:r>
      <w:r w:rsidR="00B166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66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Одбора </w:t>
      </w:r>
      <w:r w:rsidR="00B16635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>је предл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>ожила</w:t>
      </w:r>
      <w:r w:rsidR="007436BF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</w:t>
      </w:r>
      <w:r w:rsidR="007436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</w:t>
      </w: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дневни ред </w:t>
      </w:r>
      <w:r w:rsidR="00C0429E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предложен у</w:t>
      </w:r>
      <w:r w:rsidR="00C04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29E"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>сазиву седнице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допуни 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>новим</w:t>
      </w:r>
      <w:r w:rsidR="0072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тачкама д</w:t>
      </w: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невног реда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>, и то</w:t>
      </w: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</w:p>
    <w:p w:rsidR="00403A0C" w:rsidRPr="00403A0C" w:rsidRDefault="00403A0C" w:rsidP="007235F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филмској копродукцији између Владе Републике Србије и Владе Републике Италије, који је поднела Влада, и</w:t>
      </w:r>
    </w:p>
    <w:p w:rsidR="00403A0C" w:rsidRPr="00403A0C" w:rsidRDefault="00403A0C" w:rsidP="007235F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(ИПАРД III), који је поднела Влада.</w:t>
      </w:r>
    </w:p>
    <w:p w:rsidR="00B16635" w:rsidRDefault="007235FB" w:rsidP="007235F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Нагласила је да је наведене предлоге закона Влада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поднела 30. јуна 2023. го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дине, односно након сазивања 24.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седнице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</w:t>
      </w:r>
      <w:r w:rsidR="00403A0C"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03A0C" w:rsidRPr="00C73471" w:rsidRDefault="007235FB" w:rsidP="00B73DB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</w:t>
      </w:r>
      <w:r w:rsid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већином гласова (11 за, један није гласао), усвојио предлог председника Одбора о допуни дневног реда. </w:t>
      </w:r>
    </w:p>
    <w:p w:rsidR="00C73471" w:rsidRDefault="007235FB" w:rsidP="00B73DB1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је, потом, на предлог председника, већином гл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>асова (11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утврдио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C0429E" w:rsidRDefault="00C0429E" w:rsidP="00B73DB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C042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A7338E" w:rsidRPr="00B9031F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552" w:rsidRPr="00B9031F" w:rsidRDefault="00DF0E05" w:rsidP="00DF0E05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E20552"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C0429E" w:rsidRPr="00C04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Усвајање записника 23. седнице Одбора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филмском и осталом аудиовизуелном наслеђу, који је поднела Влада (број 011-2870/22 од 22. децембра 2022.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измени Закона о кинематографији, који је поднела Влада (број 011-45/23 од 13. јануара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измени и допуни Закона о култури, који је поднела Влада (број 011-416/23 од 3. марта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4.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изменама и допунама Закона о странцима, који је поднела Влада (број 011-630/23 од 31. марта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5.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изменама и допунама Закона о запошљавању странаца, који је поднела Влада (број 011-634/23 од 31. марта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6.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изменама и допунама Закона о држављанству Републике Србије, који је поднела Влада (број 011-870/23 од 5.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7.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изменама и допунама Закона о пресађивању људских органа, који је поднела Влада (број 011-868/23 од 5.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>8.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изменама и допуни Закона о људским ћелијама и ткивима, који је поднела Влада (број 011-871/23 од 5.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9.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Разматрање Предлога закона о интероперабилности железничког система, који је поднела Влада (број 011-891/23 од 8.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10.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изменама и допунама Закона о железници, који је поднела Влада (број 011-892/23 од 8.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11.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измени Закона о посебним условима за реализацију пројекта изградње станова за припаднике снага безбедности, који је поднела Влада (број 011-893/23 од 8.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12.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изменама и допунама Закона о планирању и изградњи, који је поднела Влада (број 011-894/23 од 8.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 (број 011-895/23 од 8.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14.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изменама и допунама Закона о финансијској подршци породици са децом, који је поднела Влада (број 011-991/23 од 19.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15.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Привременом регистру мајки и других лица којима се уплаћује новчана помоћ, који је поднела Влада (број 011-1173/23 од 16. јуна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16.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изменама и допунама Закона о енергетици, који је поднела Влада (број 011-1082/23 од 2. јуна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17.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изменама и допунама Закона о ваздушном саобраћају, који је поднела Влада (број 011-1083/23 од 2. јуна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18.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задуживању Републике Србије код ОТП банке Србија ад Нови Сад за потребе финансирања Пројекта изградње брзе саобраћајнице, деоница Пожаревац - Голубац (Дунавска магистрала), који је поднела Влада (број 011-714/23 од 7. априла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19.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давању гаранције Републике Србије у корист OTP banke Srbija AD Novi Sad и Banca Intesa a.d. Beograd по основу задужења Електродистрибуције Србије д.о.о. Београд, који је поднела Влада (број 011-1027/23 од 26. маја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задуживању Републике Србије код Banca Intesa AD Beograd за потребе финансирања Пројекта изградњa саобраћајнице Рума – Шабац - Лозница, који је поднела Влада (број 011-1174/23 од 16. јуна 2023. године), у начелу;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21.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о потврђивању Меморандума о разумевању између Европске уније, с једне стране и Републике Србије, с друге стране, о учешћу Републике Србије у Компоненти за запошљавање и социјалне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>иновације ("EaSI") Европског социјалног фонда плус (ЕСФ+), који је поднела Влада (број 011-720/23 од 7. априла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22.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Протокола из 1988. на Међународну конвенцију о заштити људског живота на мору, 1974, који је поднела Влада (број 011-745/23 од 13. априла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23.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Уговора о изменама и допунама који се односи на МИГА Уговор о кредиту у износу до 400.000.000 евра, од 10. децембра 2021. године између Републике Србије коју заступа Влада Републике Србије, поступајући преко Министарства финансија као Зајмопримца и J.P. MORGAN AG као Агентом и JPMORGAN CHASE BANK, N.A., LONDON BRANCH као Првобитним мандатним водећим аранжером и Credit Agricole Corporate and Investment Bank, Raiffeisen Bank International AG и Santander Bank N.A. као Мандатним водећим аранжерима и CaixaBank, S.A. и UBS Switzerland AG као Водећим аранжерима и Banco Santander, S.A., CaixaBank, S.A., Credit Agricole Corporate and Investment Bank, JPMorgan Chase Bank, N.A., London Branch, Raiffeisen Bank International AG и UBS Switzerland AG као Првобитним зајмодавцима, који се односи на необезбеђени зајам у циљу финансирања одређених грађевинских услуга од стране Bechtel Enka UK Limited, који послује у Србији преко Bechtel Enka UK Limited Огранак Београд за потребе привредног друштва „Коридори Србије" д.о.о. Београд у вези са изградњом инфраструктурног коридора аутопута Е-761 деонице Појате - Прељина (Моравски коридор), који је поднела Влада (број 011-748/23 од 13. априла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24.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Оквирног споразума о зајму LD 1981 ADD 1 (2022) између Банке за развој Савета Европе и Републике Србије - Зајам за финансирање јавног здравственог сектора (PFF), који је поднела Влада (број 011-749/23 од 13. априла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25.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Споразума о зајму (Пројекат развоја тржишта капитала) између Републике Србије и Међународне банке за обнову и развој, који је поднела Влада (број 011-791/23 од 21. априла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26.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Споразума између  Владе Републике Србије и Владе Републике Габон о укидању виза за носиоце дипломатских и службених пасоша, који је поднела Влада (број 011-847/23 од 28. априла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27.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пасоша, који је поднела Влада (број 011-848/23 од 28. априла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28.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Азербејџан о међусобном укидању виза за носиоце обичних пасоша, који је поднела Влада (број 011-869/23 од 5. маја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29.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Италије о узајамном признавању и замени возачких дозвола, који је поднела Влада (број 011-917/23 од 12. маја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 xml:space="preserve">30.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измена и допуна Споразума о међународном превозу лакокварљивих намирница и специјалним средствима за њихов превоз (АТП), који је поднела Влада (број 011-1028/23 од 26. маја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31.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Оквирног споразума о зајму LD 2114 (2022) између Банке за развој Савета Европе и Републике Србије - Пројектни зајам - Затворски објекти у Крушевцу и Сремској Митровици, који је поднела Влада (број 011-1073/23 од 2. јуна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32.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уговоре, који је поднела Влада (број 011-1074/23 од 2. јуна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33.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Уговора о кредиту у износу од 300.000.000 евра између Републике Србије, коју заступа Влада Републике Србије, поступајући преко Министарства финансија, Merill Lynch International, као Аранжера и финансијских институција наведених у Прилогу 1, као Првобитних зајмодаваца и Global Loan Agency Servicies Limited, као Агента, који је поднела Влада (број 011-1085/23 од 2. јуна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34.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Споразума између Владе Републике Србије и организације Мултинационалне снаге и посматрачи о операцији на Синајском полуострву, који је поднела Влада (број 011-1172/23 од 16. јуна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35.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Споразума о допуни Споразума између Владе Републике Србије и Владе Републике Француске о социјалној сигурности, који је поднела Влада (број 011-1185/23 од 16. јуна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36.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Опционог протокола уз Међународни пакт о економским, социјалним и културним правима, који је поднела Влада (број 011-1186/23 од 16. јуна 2023. године,);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37.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Уговора о зајму (Пројекат Наука) између Републике Србије и Европске банке за обнову и развој, који је поднела Влада (број 011-1238/23 од 23. јуна 2023. године);</w:t>
      </w:r>
    </w:p>
    <w:p w:rsidR="00C0429E" w:rsidRPr="00C0429E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38.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потврђивању Споразума о зајму (Пројекат унапређења управљања јавним финансијама за зелену транзицију) између Републике Србије и Међународне банке за обнову и развој, који је поднела Влада (број 011-1239/23 од 23. јуна 2023. године);</w:t>
      </w:r>
    </w:p>
    <w:p w:rsidR="00C73471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39. Разматрање </w:t>
      </w:r>
      <w:r w:rsidRPr="00C0429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Предлога закона о потврђивању Споразума о зајму (Први зајам за развојну политику зеленог раста у Републици Србији) између Републике Србије и Међународне банке за обнову и развој, који је поднела Влада (број 011-1240/23 од 23. јуна 2023. године)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C0429E" w:rsidRPr="00FC49D7" w:rsidRDefault="00C0429E" w:rsidP="00C0429E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40. 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CS"/>
        </w:rPr>
        <w:t>Разматрање Предлога закона о потврђивању Споразума о филмској копродукцији између Владе Републике Србије и Владе Републике Италије, који је поднела Влада</w:t>
      </w:r>
      <w:r w:rsidR="003C435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3C435A" w:rsidRPr="003C435A">
        <w:rPr>
          <w:rFonts w:ascii="Times New Roman" w:eastAsia="Calibri" w:hAnsi="Times New Roman" w:cs="Times New Roman"/>
          <w:sz w:val="24"/>
          <w:szCs w:val="24"/>
          <w:lang w:val="sr-Cyrl-CS"/>
        </w:rPr>
        <w:t>број 011</w:t>
      </w:r>
      <w:r w:rsidR="003C435A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FC49D7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>1276/23 од 30</w:t>
      </w:r>
      <w:r w:rsidR="003C435A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>. јуна 2023. године);</w:t>
      </w:r>
    </w:p>
    <w:p w:rsidR="003C435A" w:rsidRDefault="003C435A" w:rsidP="003C435A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41. Разматрање Предлога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(ИПАРД III), који је поднела Влада (број </w:t>
      </w:r>
      <w:r w:rsidR="00FC49D7"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>011-1283/23 од 30</w:t>
      </w:r>
      <w:r w:rsidRPr="00FC49D7">
        <w:rPr>
          <w:rFonts w:ascii="Times New Roman" w:eastAsia="Calibri" w:hAnsi="Times New Roman" w:cs="Times New Roman"/>
          <w:sz w:val="24"/>
          <w:szCs w:val="24"/>
          <w:lang w:val="sr-Cyrl-CS"/>
        </w:rPr>
        <w:t>. јуна</w:t>
      </w:r>
      <w:r w:rsidRPr="003C435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2023. године)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C73471" w:rsidRDefault="005A22BB" w:rsidP="005A22BB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Након утврђивања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једногласно (12 за)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без примедби, 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усвојио записник 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23. седнице Одбора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>, одржане 27. априла 2023. године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5A22BB" w:rsidRDefault="005A22BB" w:rsidP="00FC49D7">
      <w:pPr>
        <w:tabs>
          <w:tab w:val="left" w:pos="993"/>
        </w:tabs>
        <w:spacing w:after="3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Одбор</w:t>
      </w: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већином гласова (11</w:t>
      </w: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један није гласао), прихватио предлог председника Одбора</w:t>
      </w: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основу члана 76. Пословника 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води заједнички начелни </w:t>
      </w:r>
      <w:r w:rsidR="001E59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јединствени </w:t>
      </w: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>претрес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7338E" w:rsidRPr="00C73471" w:rsidRDefault="00A7338E" w:rsidP="005A22BB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Прва </w:t>
      </w:r>
      <w:r w:rsidR="005A22BB" w:rsidRP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до 41. тачке дневног </w:t>
      </w:r>
      <w:r w:rsid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реда</w:t>
      </w:r>
    </w:p>
    <w:p w:rsidR="001C69A8" w:rsidRDefault="001C69A8" w:rsidP="001C69A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69A8">
        <w:rPr>
          <w:rFonts w:ascii="Times New Roman" w:hAnsi="Times New Roman"/>
          <w:sz w:val="24"/>
          <w:szCs w:val="24"/>
          <w:lang w:val="sr-Cyrl-CS"/>
        </w:rPr>
        <w:t xml:space="preserve">У дискусији 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о тачкама утврђеног дневног реда </w:t>
      </w:r>
      <w:r w:rsidRPr="001C69A8">
        <w:rPr>
          <w:rFonts w:ascii="Times New Roman" w:hAnsi="Times New Roman"/>
          <w:sz w:val="24"/>
          <w:szCs w:val="24"/>
          <w:lang w:val="sr-Cyrl-CS"/>
        </w:rPr>
        <w:t>учествовали су проф. др Дарија Кисић Тепавчевић</w:t>
      </w:r>
      <w:r w:rsidR="00605F9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1E5948">
        <w:rPr>
          <w:rFonts w:ascii="Times New Roman" w:hAnsi="Times New Roman"/>
          <w:sz w:val="24"/>
          <w:szCs w:val="24"/>
          <w:lang w:val="sr-Cyrl-CS"/>
        </w:rPr>
        <w:t>по тачки 14.</w:t>
      </w:r>
      <w:r w:rsidR="00605F97">
        <w:rPr>
          <w:rFonts w:ascii="Times New Roman" w:hAnsi="Times New Roman"/>
          <w:sz w:val="24"/>
          <w:szCs w:val="24"/>
          <w:lang w:val="sr-Cyrl-CS"/>
        </w:rPr>
        <w:t xml:space="preserve"> дневног реда)</w:t>
      </w:r>
      <w:r w:rsidRPr="001C69A8">
        <w:rPr>
          <w:rFonts w:ascii="Times New Roman" w:hAnsi="Times New Roman"/>
          <w:sz w:val="24"/>
          <w:szCs w:val="24"/>
          <w:lang w:val="sr-Cyrl-CS"/>
        </w:rPr>
        <w:t>, Бошко Обрадовић и Јелена Жарић Ковачевић.</w:t>
      </w:r>
    </w:p>
    <w:p w:rsidR="005A22BB" w:rsidRDefault="00E847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 w:rsidR="00AB376D">
        <w:rPr>
          <w:rFonts w:ascii="Times New Roman" w:hAnsi="Times New Roman"/>
          <w:sz w:val="24"/>
          <w:szCs w:val="24"/>
          <w:lang w:val="sr-Cyrl-CS"/>
        </w:rPr>
        <w:t xml:space="preserve"> након обављеног заједничког начелног и јединственог претреса</w:t>
      </w:r>
      <w:r w:rsidR="001E5948">
        <w:rPr>
          <w:rFonts w:ascii="Times New Roman" w:hAnsi="Times New Roman"/>
          <w:sz w:val="24"/>
          <w:szCs w:val="24"/>
          <w:lang w:val="sr-Cyrl-CS"/>
        </w:rPr>
        <w:t xml:space="preserve"> по свим тачкама дневног реда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5948">
        <w:rPr>
          <w:rFonts w:ascii="Times New Roman" w:hAnsi="Times New Roman"/>
          <w:sz w:val="24"/>
          <w:szCs w:val="24"/>
          <w:lang w:val="sr-Cyrl-RS"/>
        </w:rPr>
        <w:t>прешао на одлучивање по тачкам дневног реда</w:t>
      </w:r>
      <w:r w:rsidR="005A22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5A22BB" w:rsidRDefault="005A22BB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</w:t>
      </w:r>
      <w:r w:rsidR="001E5948"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</w:t>
      </w:r>
      <w:r w:rsid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E5948"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једногласно (12 за)</w:t>
      </w:r>
      <w:r w:rsid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1E5948"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филмском и осталом аудиовизуелном наслеђу, који је поднела Влада, у начелу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B41B34"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 w:rsid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</w:t>
      </w:r>
      <w:r w:rsid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једногласно (12 за)</w:t>
      </w:r>
      <w:r w:rsid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706D48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измени Закона о кинематографији, који је поднела Влада, у начелу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једногласно (12 за),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измени и допуни Закона о култури, који је поднела Влада, у начелу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B664D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изменама и допунама Закона о странцима, 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који је поднела Влада, у начелу,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5) 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запошљавању странаца, који је поднела Влада, у начелу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6) </w:t>
      </w:r>
      <w:r w:rsidR="00CB664D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држављанству Републике Србије, који је поднела Влада, у начелу</w:t>
      </w:r>
      <w:r w:rsid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7) 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пресађивању људских органа, који је поднела Влада, у начелу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8) 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допуни Закона о људским ћелијама и ткивима, који је поднела Влада, у начелу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9) 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 (</w:t>
      </w:r>
      <w:r w:rsidR="00824C70" w:rsidRPr="00824C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 за, један није гласао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интероперабилности железничког система, који је поднела Влада, у начелу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10) 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железници, који је поднела Влада, у начелу</w:t>
      </w:r>
      <w:r w:rsidR="00FD14A4"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11) 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измени Закона о посебним условима за реализацију пројекта изградње станова за припаднике снага безбедности, који је поднела Влада, у начелу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12) </w:t>
      </w:r>
      <w:r w:rsidR="00FD14A4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планирању и изградњи, који је поднела Влада, у начелу</w:t>
      </w:r>
      <w:r w:rsid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13) 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Влада, у начелу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14) 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 (11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за, 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један није гласао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финансијској подршци породици са децом, који је поднела Влада, у начелу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15) </w:t>
      </w:r>
      <w:r w:rsidR="00583856"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Привременом регистру мајки и других лица којима се уплаћује новчана помоћ, који је поднела Влада, у начелу</w:t>
      </w:r>
      <w:r w:rsid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41B34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16) 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 (девет за, три нису гласала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одлучио да је 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енергетици, који је поднела Влада, у начелу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A2B7E"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 w:rsid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17) 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ваздушном саобраћају, који је поднела Влада, у начелу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18) 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задуживању Републике Србије код ОТП банке Србија ад Нови Сад за потребе финансирања Пројекта изградње брзе саобраћајнице, деоница Пожаревац - Голубац (Дунавска магистрала), који је поднела Влада, у начелу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19) 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асова (десет за, два нису гласала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давању гаранције Републике Србије у корист OTP banke Srbija AD Novi Sad и Banca Intesa a.d. Beograd по основу задужења Електродистрибуције Србије д.о.о. Београд, који је поднела Влада, у начелу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20) 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задуживању Републике Србије код Banca Intesa AD Beograd за потребе финансирања Пројекта изградњa саобраћајнице Рума – Шабац - Лозница, који је поднела Влада, у начелу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21) 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потврђивању Меморандума о разумевању између Европске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уније, с једне стране и Републике Србије, с друге стране, о учешћу Републике Србије у Компоненти за запошљавање и социјалне иновације ("EaSI") Европског социјалног фонда плус (ЕСФ+), који је поднела Владa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22) 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Протокола из 1988. на Међународну конвенцију о заштити људског живота на мору, 1974, који је поднела Владa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23)</w:t>
      </w:r>
      <w:r w:rsidR="00BD4DB3" w:rsidRPr="00BD4DB3">
        <w:t xml:space="preserve"> </w:t>
      </w:r>
      <w:r w:rsidR="00BD4DB3"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 (десет за, два нису гласала), одлучио да 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Уговора о изменама и допунама који се односи на МИГА Уговор о кредиту у износу до 400.000.000 евра, од 10. децембра 2021. године између Републике Србије коју заступа Влада Републике Србије, поступајући преко Министарства финансија као Зајмопримца и J.P. MORGAN AG као Агентом и JPMORGAN CHASE BANK, N.A., LONDON BRANCH као Првобитним мандатним водећим аранжером и Credit Agricole Corporate and Investment Bank, Raiffeisen Bank International AG и Santander Bank N.A. као Мандатним водећим аранжерима и CaixaBank, S.A. и UBS Switzerland AG као Водећим аранжерима и Banco Santander, S.A., CaixaBank, S.A., Credit Agricole Corporate and Investment Bank, JPMorgan Chase Bank, N.A., London Branch, Raiffeisen Bank International AG и UBS Switzerland AG као Првобитним зајмодавцима, који се односи на необезбеђени зајам у циљу финансирања одређених грађевинских услуга од стране Bechtel Enka UK Limited, који послује у Србији преко Bechtel Enka UK Limited Огранак Београд за потребе привредног друштва „Коридори Србије" д.о.о. Београд у вези са изградњом инфраструктурног коридора аутопута Е-761 деонице Појате - Прељина (Моравски коридор), који је поднела Владa</w:t>
      </w:r>
      <w:r w:rsid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24) </w:t>
      </w:r>
      <w:r w:rsidR="000C4EE1" w:rsidRP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Оквирног споразума о зајму LD 1981 ADD 1 (2022) између Банке за развој Савета Европе и Републике Србије - Зајам за финансирање јавног здравственог сектора (PFF), који је поднела Владa</w:t>
      </w:r>
      <w:r w:rsidR="000C4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25) 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о зајму (Пројекат развоја тржишта капитала) између Републике Србије и Међународне банке за обнову и развоj, који је поднела Владa</w:t>
      </w:r>
      <w:r w:rsid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26) </w:t>
      </w:r>
      <w:r w:rsidR="004368F9" w:rsidRP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између  Владе Републике Србије и Владе Републике Габон о укидању виза за носиоце дипломатских и службених пасоша, који је поднела Владa</w:t>
      </w:r>
      <w:r w:rsidR="00436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27) 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пасоша, који је поднела Владa</w:t>
      </w:r>
      <w:r w:rsid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28) 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потврђивању Споразума између Владе Републике Србије и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Владе Републике Азербејџан о међусобном укидању виза за носиоце обичних пасоша, који је поднела Владa</w:t>
      </w:r>
      <w:r w:rsid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CA2B7E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29) </w:t>
      </w:r>
      <w:r w:rsidR="00B4426D" w:rsidRP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Италије о узајамном признавању и замени возачких дозвола, који је поднела Владa</w:t>
      </w:r>
      <w:r w:rsidR="00B442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269BD"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 w:rsid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30) 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измена и допуна Споразума о међународном превозу лакокварљивих намирница и специјалним средствима за њихов превоз (АТП), који је поднела Владa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31) 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Оквирног споразума о зајму LD 2114 (2022) између Банке за развој Савета Европе и Републике Србије - Пројектни зајам - Затворски објекти у Крушевцу и Сремској Митровици, који је поднела Влада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32) 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 (десет за, два нису гласала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одлучио да је 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уговоре, који је поднела Влада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33) 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 (десет за, два нису гласала</w:t>
      </w:r>
      <w:r w:rsidR="00F978FA" w:rsidRP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одлучио да је 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Уговора о кредиту у износу од 300.000.000 евра између Републике Србије, коју заступа Влада Републике Србије, поступајући преко Министарства финансија, Merill Lynch International, као Аранжера и финансијских институција наведених у Прилогу 1, као Првобитних зајмодаваца и Global Loan Agency Servicies Limited, као Агента, који је поднела Влада</w:t>
      </w:r>
      <w:r w:rsidR="00F978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34) 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</w:t>
      </w:r>
      <w:r w:rsidR="00F048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један против, један није гласао</w:t>
      </w:r>
      <w:r w:rsidR="006733CD" w:rsidRP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одлучио да је 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између Владе Републике Србије и организације Мултинационалне снаге и посматрачи о операцији на Синајском полуострву, који је поднела Влада</w:t>
      </w:r>
      <w:r w:rsidR="00673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F269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269BD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35) 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о допуни Споразума између Владе Републике Србије и Владе Републике Француске о социјалној сигурности, који је поднела Влада</w:t>
      </w:r>
      <w:r w:rsid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5244E"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 w:rsid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36) 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Опционог протокола уз Међународни пакт о економским, социјалним и културним правима, који је поднела Влада</w:t>
      </w:r>
      <w:r w:rsid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37) 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Уговора о зајму (Пројекат Наука) између Републике Србије и Европске банке за обнову и развој, који је поднела Владa</w:t>
      </w:r>
      <w:r w:rsid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38) </w:t>
      </w:r>
      <w:r w:rsidR="00E901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 (11 за, један није гласао</w:t>
      </w:r>
      <w:r w:rsidR="00F96D7B" w:rsidRP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одлучио да је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о зајму (Пројекат унапређења управљања јавним финансијама за зелену транзицију) између Републике Србије и Међународне банке за обнову и развој, који је поднела Владa</w:t>
      </w:r>
      <w:r w:rsidR="00F96D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39) </w:t>
      </w:r>
      <w:r w:rsidR="008F088E" w:rsidRP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о зајму (Први зајам за развојну политику зеленог раста у Републици Србији) између Републике Србије и Међународне банке за обнову и развој, који је поднела Владa</w:t>
      </w:r>
      <w:r w:rsidR="008F08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5244E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40) </w:t>
      </w:r>
      <w:r w:rsidR="00827B4B" w:rsidRP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(десет за, два нису гласала), одлучио да је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о филмској копродукцији између Владе Републике Србије и Владе Републике Италије, који је поднела Владa</w:t>
      </w:r>
      <w:r w:rsidR="00827B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E84734" w:rsidRDefault="00A5244E" w:rsidP="00183980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41) </w:t>
      </w:r>
      <w:r w:rsidR="00183980" w:rsidRP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један није гласао), одлучио да је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(ИПАРД III), који је поднела Владa</w:t>
      </w:r>
      <w:r w:rsidR="001839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524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DA37BD" w:rsidRPr="00DC4123" w:rsidRDefault="00F37593" w:rsidP="00DC412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A5244E"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већином гласова (11</w:t>
      </w:r>
      <w:r w:rsidR="001C6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за, један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гласао)</w:t>
      </w:r>
      <w:r w:rsidR="00A524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734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известилац Одбора на седници Народне скупштине по наведеним </w:t>
      </w:r>
      <w:r w:rsidR="00C7347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законима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буде Јелена Жарић Ковачевић, председник Одбора.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A5244E"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A5244E"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42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Јелена Жарић Ковачевић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B9031F" w:rsidRDefault="00103355">
      <w:pPr>
        <w:rPr>
          <w:sz w:val="24"/>
          <w:szCs w:val="24"/>
        </w:rPr>
      </w:pPr>
    </w:p>
    <w:sectPr w:rsidR="00103355" w:rsidRPr="00B9031F" w:rsidSect="002053A8">
      <w:foot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1F" w:rsidRDefault="00A86B1F">
      <w:pPr>
        <w:spacing w:after="0" w:line="240" w:lineRule="auto"/>
      </w:pPr>
      <w:r>
        <w:separator/>
      </w:r>
    </w:p>
  </w:endnote>
  <w:endnote w:type="continuationSeparator" w:id="0">
    <w:p w:rsidR="00A86B1F" w:rsidRDefault="00A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05413D">
          <w:rPr>
            <w:rFonts w:ascii="Times New Roman" w:hAnsi="Times New Roman" w:cs="Times New Roman"/>
            <w:noProof/>
          </w:rPr>
          <w:t>10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054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1F" w:rsidRDefault="00A86B1F">
      <w:pPr>
        <w:spacing w:after="0" w:line="240" w:lineRule="auto"/>
      </w:pPr>
      <w:r>
        <w:separator/>
      </w:r>
    </w:p>
  </w:footnote>
  <w:footnote w:type="continuationSeparator" w:id="0">
    <w:p w:rsidR="00A86B1F" w:rsidRDefault="00A8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0C38"/>
    <w:multiLevelType w:val="hybridMultilevel"/>
    <w:tmpl w:val="7B584F4E"/>
    <w:lvl w:ilvl="0" w:tplc="49826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E"/>
    <w:rsid w:val="00004107"/>
    <w:rsid w:val="00012DF2"/>
    <w:rsid w:val="0003194E"/>
    <w:rsid w:val="0005413D"/>
    <w:rsid w:val="000C4EE1"/>
    <w:rsid w:val="000E2595"/>
    <w:rsid w:val="00103355"/>
    <w:rsid w:val="001070F2"/>
    <w:rsid w:val="00112917"/>
    <w:rsid w:val="00125609"/>
    <w:rsid w:val="00183875"/>
    <w:rsid w:val="00183980"/>
    <w:rsid w:val="001C69A8"/>
    <w:rsid w:val="001D0CEF"/>
    <w:rsid w:val="001E47FC"/>
    <w:rsid w:val="001E5948"/>
    <w:rsid w:val="002053A8"/>
    <w:rsid w:val="00230131"/>
    <w:rsid w:val="0024611B"/>
    <w:rsid w:val="002475DF"/>
    <w:rsid w:val="002547B1"/>
    <w:rsid w:val="00371AA4"/>
    <w:rsid w:val="003C24E8"/>
    <w:rsid w:val="003C435A"/>
    <w:rsid w:val="003C4B0A"/>
    <w:rsid w:val="003E581B"/>
    <w:rsid w:val="00403A0C"/>
    <w:rsid w:val="00403E01"/>
    <w:rsid w:val="00416286"/>
    <w:rsid w:val="004368F9"/>
    <w:rsid w:val="0044252D"/>
    <w:rsid w:val="00453E84"/>
    <w:rsid w:val="004A25E8"/>
    <w:rsid w:val="00507EA3"/>
    <w:rsid w:val="00524058"/>
    <w:rsid w:val="00583856"/>
    <w:rsid w:val="005942F5"/>
    <w:rsid w:val="005A22BB"/>
    <w:rsid w:val="005C731A"/>
    <w:rsid w:val="005D744B"/>
    <w:rsid w:val="005F3682"/>
    <w:rsid w:val="00605F97"/>
    <w:rsid w:val="0064222C"/>
    <w:rsid w:val="006733CD"/>
    <w:rsid w:val="00706D48"/>
    <w:rsid w:val="00711AF8"/>
    <w:rsid w:val="00714CAF"/>
    <w:rsid w:val="007235FB"/>
    <w:rsid w:val="007436BF"/>
    <w:rsid w:val="00744405"/>
    <w:rsid w:val="0077110E"/>
    <w:rsid w:val="007967C0"/>
    <w:rsid w:val="007970A8"/>
    <w:rsid w:val="007A66D6"/>
    <w:rsid w:val="007B5FB6"/>
    <w:rsid w:val="00801102"/>
    <w:rsid w:val="00824C70"/>
    <w:rsid w:val="00827B4B"/>
    <w:rsid w:val="008819EB"/>
    <w:rsid w:val="008C05C5"/>
    <w:rsid w:val="008E2438"/>
    <w:rsid w:val="008F088E"/>
    <w:rsid w:val="009167FB"/>
    <w:rsid w:val="009636A1"/>
    <w:rsid w:val="009B2685"/>
    <w:rsid w:val="009C532C"/>
    <w:rsid w:val="00A5244E"/>
    <w:rsid w:val="00A651EF"/>
    <w:rsid w:val="00A7338E"/>
    <w:rsid w:val="00A86B1F"/>
    <w:rsid w:val="00AB2DB9"/>
    <w:rsid w:val="00AB376D"/>
    <w:rsid w:val="00AE40E2"/>
    <w:rsid w:val="00B16635"/>
    <w:rsid w:val="00B23E5C"/>
    <w:rsid w:val="00B41B34"/>
    <w:rsid w:val="00B4426D"/>
    <w:rsid w:val="00B55C91"/>
    <w:rsid w:val="00B73DB1"/>
    <w:rsid w:val="00B9031F"/>
    <w:rsid w:val="00BD4DB3"/>
    <w:rsid w:val="00C0429E"/>
    <w:rsid w:val="00C2042C"/>
    <w:rsid w:val="00C73471"/>
    <w:rsid w:val="00C76D84"/>
    <w:rsid w:val="00C76ECD"/>
    <w:rsid w:val="00C86CB0"/>
    <w:rsid w:val="00CA1EFF"/>
    <w:rsid w:val="00CA2B7E"/>
    <w:rsid w:val="00CB664D"/>
    <w:rsid w:val="00CB72DC"/>
    <w:rsid w:val="00CD6B47"/>
    <w:rsid w:val="00D03F77"/>
    <w:rsid w:val="00D2034B"/>
    <w:rsid w:val="00D51514"/>
    <w:rsid w:val="00D9278E"/>
    <w:rsid w:val="00DA37BD"/>
    <w:rsid w:val="00DB3E4A"/>
    <w:rsid w:val="00DC4123"/>
    <w:rsid w:val="00DF0E05"/>
    <w:rsid w:val="00E20552"/>
    <w:rsid w:val="00E20D27"/>
    <w:rsid w:val="00E70E03"/>
    <w:rsid w:val="00E84734"/>
    <w:rsid w:val="00E90110"/>
    <w:rsid w:val="00ED369D"/>
    <w:rsid w:val="00EF5D03"/>
    <w:rsid w:val="00F048D8"/>
    <w:rsid w:val="00F269BD"/>
    <w:rsid w:val="00F37593"/>
    <w:rsid w:val="00F40EF0"/>
    <w:rsid w:val="00F95EE7"/>
    <w:rsid w:val="00F96D7B"/>
    <w:rsid w:val="00F978FA"/>
    <w:rsid w:val="00F97AB9"/>
    <w:rsid w:val="00FB0295"/>
    <w:rsid w:val="00FC49D7"/>
    <w:rsid w:val="00FD14A4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A897-D82D-4583-B07B-43B183AB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10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54</cp:revision>
  <cp:lastPrinted>2023-07-14T11:48:00Z</cp:lastPrinted>
  <dcterms:created xsi:type="dcterms:W3CDTF">2023-07-05T07:52:00Z</dcterms:created>
  <dcterms:modified xsi:type="dcterms:W3CDTF">2023-07-14T11:49:00Z</dcterms:modified>
</cp:coreProperties>
</file>